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17" w:rsidRDefault="0038371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3717" w:rsidRDefault="00383717">
      <w:pPr>
        <w:pStyle w:val="ConsPlusNormal"/>
        <w:ind w:firstLine="540"/>
        <w:jc w:val="both"/>
        <w:outlineLvl w:val="0"/>
      </w:pPr>
    </w:p>
    <w:p w:rsidR="00383717" w:rsidRDefault="00383717">
      <w:pPr>
        <w:pStyle w:val="ConsPlusTitle"/>
        <w:jc w:val="center"/>
        <w:outlineLvl w:val="0"/>
      </w:pPr>
      <w:r>
        <w:t>ГЛАВА ГОРОДА НОВОКУЗНЕЦКА</w:t>
      </w:r>
    </w:p>
    <w:p w:rsidR="00383717" w:rsidRDefault="00383717">
      <w:pPr>
        <w:pStyle w:val="ConsPlusTitle"/>
        <w:jc w:val="center"/>
      </w:pPr>
    </w:p>
    <w:p w:rsidR="00383717" w:rsidRDefault="00383717">
      <w:pPr>
        <w:pStyle w:val="ConsPlusTitle"/>
        <w:jc w:val="center"/>
      </w:pPr>
      <w:r>
        <w:t>ПОСТАНОВЛЕНИЕ</w:t>
      </w:r>
    </w:p>
    <w:p w:rsidR="00383717" w:rsidRDefault="00383717">
      <w:pPr>
        <w:pStyle w:val="ConsPlusTitle"/>
        <w:jc w:val="center"/>
      </w:pPr>
      <w:r>
        <w:t>от 18 марта 2008 г. N 20</w:t>
      </w:r>
    </w:p>
    <w:p w:rsidR="00383717" w:rsidRDefault="00383717">
      <w:pPr>
        <w:pStyle w:val="ConsPlusTitle"/>
        <w:jc w:val="center"/>
      </w:pPr>
    </w:p>
    <w:p w:rsidR="00383717" w:rsidRDefault="00383717">
      <w:pPr>
        <w:pStyle w:val="ConsPlusTitle"/>
        <w:jc w:val="center"/>
      </w:pPr>
      <w:r>
        <w:t>О ПОРЯДКЕ УСТАНОВЛЕНИЯ ОСНОВНЫХ ТРЕБОВАНИЙ К РАБОТЕ</w:t>
      </w:r>
    </w:p>
    <w:p w:rsidR="00383717" w:rsidRDefault="00383717">
      <w:pPr>
        <w:pStyle w:val="ConsPlusTitle"/>
        <w:jc w:val="center"/>
      </w:pPr>
      <w:r>
        <w:t>ПОДВЕДОМСТВЕННЫХ УЧРЕЖДЕНИЙ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 xml:space="preserve">В соответствии с Постановлением Коллегии Администрации Кемеровской области от 29.12.2007 N 382 "О порядке установления основных требований к работе подведомственных учреждений", в целях повышения эффективности использования средств городского бюджета, усиления </w:t>
      </w:r>
      <w:proofErr w:type="gramStart"/>
      <w:r>
        <w:t>ответственности руководителей органов Администрации города Новокузнецка</w:t>
      </w:r>
      <w:proofErr w:type="gramEnd"/>
      <w:r>
        <w:t xml:space="preserve"> и подведомственных им учреждений за результаты деятельности: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установления основных требований к работе подведомственных учреждений.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2. Руководителям субъектов бюджетного планирования - органам Администрации города, являющимся главными распорядителями и получателями средств бюджета городского округа: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2.1. при формировании взаимоотношений с подведомственными учреждениями, а также при формировании и реализации ведомственных целевых программ на очередной финансовый год и плановый период руководствоваться утвержденным </w:t>
      </w:r>
      <w:hyperlink w:anchor="P32" w:history="1">
        <w:r>
          <w:rPr>
            <w:color w:val="0000FF"/>
          </w:rPr>
          <w:t>Порядком</w:t>
        </w:r>
      </w:hyperlink>
      <w:r>
        <w:t>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2.2. при формировании отчетов об исполнении ведомственных целевых программ осуществлять оценку выполнения требований к работе подведомственных учреждений за отчетный финансовый год.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3. Опубликовать Постановление в средствах массовой информации.</w:t>
      </w:r>
    </w:p>
    <w:p w:rsidR="00383717" w:rsidRDefault="00383717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4. Настоящий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распространяет свое действие на взаимоотношения с подведомственными учреждениями, возникшие с 1 января 2008 г.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по экономическим вопросам (Д.Н. Смертина).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right"/>
      </w:pPr>
      <w:r>
        <w:t>Глава</w:t>
      </w:r>
    </w:p>
    <w:p w:rsidR="00383717" w:rsidRDefault="00383717">
      <w:pPr>
        <w:pStyle w:val="ConsPlusNormal"/>
        <w:jc w:val="right"/>
      </w:pPr>
      <w:r>
        <w:t>города Новокузнецка</w:t>
      </w:r>
    </w:p>
    <w:p w:rsidR="00383717" w:rsidRDefault="00383717">
      <w:pPr>
        <w:pStyle w:val="ConsPlusNormal"/>
        <w:jc w:val="right"/>
      </w:pPr>
      <w:r>
        <w:t>С.Д.МАРТИН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837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3717" w:rsidRDefault="00383717">
            <w:pPr>
              <w:pStyle w:val="ConsPlusNormal"/>
              <w:jc w:val="both"/>
            </w:pPr>
            <w:r>
              <w:rPr>
                <w:color w:val="392C69"/>
              </w:rPr>
              <w:t>Порядок распространяет действие на взаимоотношения с подведомственными учреждениями, возникшие с 1 января 2008 года (</w:t>
            </w:r>
            <w:hyperlink w:anchor="P15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Постановления).</w:t>
            </w:r>
          </w:p>
        </w:tc>
      </w:tr>
    </w:tbl>
    <w:p w:rsidR="00383717" w:rsidRDefault="00383717">
      <w:pPr>
        <w:pStyle w:val="ConsPlusNormal"/>
        <w:spacing w:before="280"/>
        <w:jc w:val="right"/>
        <w:outlineLvl w:val="0"/>
      </w:pPr>
      <w:r>
        <w:t>Приложение N 1</w:t>
      </w:r>
    </w:p>
    <w:p w:rsidR="00383717" w:rsidRDefault="00383717">
      <w:pPr>
        <w:pStyle w:val="ConsPlusNormal"/>
        <w:jc w:val="right"/>
      </w:pPr>
      <w:r>
        <w:t>к Постановлению Главы</w:t>
      </w:r>
    </w:p>
    <w:p w:rsidR="00383717" w:rsidRDefault="00383717">
      <w:pPr>
        <w:pStyle w:val="ConsPlusNormal"/>
        <w:jc w:val="right"/>
      </w:pPr>
      <w:r>
        <w:t>города Новокузнецка</w:t>
      </w:r>
    </w:p>
    <w:p w:rsidR="00383717" w:rsidRDefault="00383717">
      <w:pPr>
        <w:pStyle w:val="ConsPlusNormal"/>
        <w:jc w:val="right"/>
      </w:pPr>
      <w:r>
        <w:t>от 18.03.2008 N 20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Title"/>
        <w:jc w:val="center"/>
      </w:pPr>
      <w:bookmarkStart w:id="1" w:name="P32"/>
      <w:bookmarkEnd w:id="1"/>
      <w:r>
        <w:t>ПОРЯДОК</w:t>
      </w:r>
    </w:p>
    <w:p w:rsidR="00383717" w:rsidRDefault="00383717">
      <w:pPr>
        <w:pStyle w:val="ConsPlusTitle"/>
        <w:jc w:val="center"/>
      </w:pPr>
      <w:r>
        <w:t>УСТАНОВЛЕНИЯ ОСНОВНЫХ ТРЕБОВАНИЙ К РАБОТЕ ПОДВЕДОМСТВЕННЫХ</w:t>
      </w:r>
    </w:p>
    <w:p w:rsidR="00383717" w:rsidRDefault="00383717">
      <w:pPr>
        <w:pStyle w:val="ConsPlusTitle"/>
        <w:jc w:val="center"/>
      </w:pPr>
      <w:r>
        <w:t>УЧРЕЖДЕНИЙ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1"/>
      </w:pPr>
      <w:r>
        <w:t>1. Общие положения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Постановлением Коллегии Администрации Кемеровской области от 29.12.2007 N 382 "О порядке установления основных требований к работе подведомственных учреждений",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Главы города Новокузнецка от 30.11.2007 N 47 "Об утверждении "Положения о разработке, утверждении и контроле за реализацией ведомственных целевых программ", в целях методического обеспечения процесса подготовки субъектами бюджетного планирования г. Новокузнецка требований к работе подведомственных</w:t>
      </w:r>
      <w:proofErr w:type="gramEnd"/>
      <w:r>
        <w:t xml:space="preserve"> учреждений (далее - учреждений).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Требования к работе учреждений устанавливаются субъектами бюджетного планирования </w:t>
      </w:r>
      <w:proofErr w:type="gramStart"/>
      <w:r>
        <w:t>г</w:t>
      </w:r>
      <w:proofErr w:type="gramEnd"/>
      <w:r>
        <w:t>. Новокузнецка, реализующими ведомственные целевые программы и являющимися главными распорядителями (распорядителями) средств городского бюджета.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В целях настоящего Порядка применяются следующие понятия и термины: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Муниципальная услуга - услуга, оказываемая физическим и юридическим лицам в соответствии с муниципальным заданием органами местного самоуправления, бюджетными учреждениями, иными физическими лицами безвозмездно или по ценам (тарифам), устанавливаемым в порядке, определенном органами местного самоуправления;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Субъекты бюджетного планирования - органы Администрации города, являющиеся главными распорядителями, и получатели средств бюджета городского округа;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Учреждение - муниципальное учреждение, находящееся в соответствии с его учредительными документами в ведении субъекта бюджетного планирования, финансовое обеспечение выполнения функций которого, в том числе по оказанию муниципальных услуг физическим и юридическим лицам в соответствии с муниципальным заданием, осуществляется за счет средств городского бюджета на основе бюджетной сметы;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Задание - совокупность мероприятий, определяющая набор действий подведомственных организаций, которые должны привести к достижению </w:t>
      </w:r>
      <w:proofErr w:type="gramStart"/>
      <w:r>
        <w:t>значений целевых показателей деятельности курирующих субъектов бюджетного планирования</w:t>
      </w:r>
      <w:proofErr w:type="gramEnd"/>
      <w:r>
        <w:t>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Очередной финансовый год - год, следующий за текущим финансовым годом.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1"/>
      </w:pPr>
      <w:r>
        <w:t>2. Цели и задачи планирования и установления требований</w:t>
      </w:r>
    </w:p>
    <w:p w:rsidR="00383717" w:rsidRDefault="00383717">
      <w:pPr>
        <w:pStyle w:val="ConsPlusNormal"/>
        <w:jc w:val="center"/>
      </w:pPr>
      <w:r>
        <w:t>к работе учреждений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2.1. Основными целями планирования и установления требований к деятельности учреждений являются определение ключевых сфер их ответственности в процессе оказания муниципальных услуг, повышение эффективности деятельности учреждений по оказанию муниципальных услуг с точки зрения достижения установленных результатов.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2.2. Планирование и установление требований к работе учреждений должны обеспечивать решение следующих задач: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Ориентация деятельности учреждений на достижение </w:t>
      </w:r>
      <w:proofErr w:type="gramStart"/>
      <w:r>
        <w:t>значений целевых показателей деятельности курирующих субъектов бюджетного планирования</w:t>
      </w:r>
      <w:proofErr w:type="gramEnd"/>
      <w:r>
        <w:t>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Снижение рисков неэффективного использования бюджетных средств;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- Обеспечение стабильного функционирования учреждений в долгосрочной перспективе.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2.3. Субъекты бюджетного планирования ежегодно, одновременно с утверждением сметы на очередной финансовый год, определяют задания для учреждений по предоставлению муниципальных услуг.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2.4. Требования к работе учреждений утверждаются руководителем субъекта бюджетного планирования в форме приложения к заданиям по предоставлению муниципальных услуг и являются основным документом, закрепляющим требования к результатам деятельности учреждений.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2.5. Требования к работе учреждений подлежат пересмотру в случае переработки (корректировки) ведомственной программы, изменения объемов финансирования для бюджетного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2.6. Оценка степени выполнения требований к работе учреждений является характеристикой эффективности деятельности учреждений.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1"/>
      </w:pPr>
      <w:r>
        <w:t>3. Правила формирования требований к работе учреждений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3.1. Система требований должна охватывать все значимые результаты деятельности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3.2. Отдельные требования, предъявляемые к работе учреждения, должны быть согласованы между собой. Не допускается установление требований, которые делают невыполнимыми одно или несколько иных требований.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3.3. Не допускается устанавливать требования к организации производственного процесса по оказанию муниципальной услуги, используемым в процессе оказания услуги ресурсам, кроме случаев, когда требования предъявляются к процессу оказания муниципальной услуги и имеют </w:t>
      </w:r>
      <w:proofErr w:type="gramStart"/>
      <w:r>
        <w:t>важное значение</w:t>
      </w:r>
      <w:proofErr w:type="gramEnd"/>
      <w:r>
        <w:t xml:space="preserve"> для потребителей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3.4. Формулировки требований к работе учреждений должны иметь однозначное толкование во избежание возможности различной интерпретации требований и снижения ответственности учреждений за их выполнение.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3.5. В набор требований не могут включаться требования, выполнение которых не зависит от деятельности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3.6. Набор требований, предъявляемых к деятельности учреждения, может содержать раздел, касающийся выполнения стандартов качества муниципальной услуги как одной из сфер ответственности учреждения при осуществлении своей деятельности.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3.7. Требования не должны противоречить действующему законодательству.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3.8. Требования, выполнение которых подразумевает необходимость осуществления финансовых или материальных расходов, должны быть обеспечены соответствующими источниками финансирования.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1"/>
      </w:pPr>
      <w:r>
        <w:t>4. Правила установления показателей, характеризующих степень</w:t>
      </w:r>
    </w:p>
    <w:p w:rsidR="00383717" w:rsidRDefault="00383717">
      <w:pPr>
        <w:pStyle w:val="ConsPlusNormal"/>
        <w:jc w:val="center"/>
      </w:pPr>
      <w:r>
        <w:t>выполнения требований к работе учреждений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 xml:space="preserve">4.1. Степень выполнения требований к работе учреждений оценивается посредством установления для каждого требования показателей, целевых значений данных показателей и проверки их выполнения </w:t>
      </w:r>
      <w:proofErr w:type="gramStart"/>
      <w:r>
        <w:t>по</w:t>
      </w:r>
      <w:proofErr w:type="gramEnd"/>
      <w:r>
        <w:t xml:space="preserve"> прошествии контрольных периодов.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4.2. В качестве контрольных периодов могут использоваться: календарный год, календарный квартал. Для отдельных требований могут использоваться контрольные периоды, равные месяцу.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4.3. Для каждого требования рекомендуется устанавливать от одного до трех показателей. В случае установления нескольких показателей по оценке выполнения одного требования показатели должны быть согласованы между собой.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4.4. Устанавливаемые целевые значения показателей для различных требований не должны противоречить друг другу.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4.5. Показатели, характеризующие степень выполнения требований, должны быть количественно или логически измеримы.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4.6. Достижение установленного целевого значения показателя должно прямо либо опосредованно обеспечивать выполнение соответствующего требования.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4.7. Информация о фактических значениях показателя и/или составляющих, необходимых для расчета значения показателя, должна предполагать их получение из достоверного и надежного источника, а также возможность получения данных значений к окончанию контрольных периодов.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4.8. Формулировка показателя должна точно и однозначно определять формулу и порядок расчета значений показателя.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1"/>
      </w:pPr>
      <w:r>
        <w:t>5. Структура и содержание требований к работе учреждений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t>5.1. Требования к работе учреждений должны содержать</w:t>
      </w:r>
    </w:p>
    <w:p w:rsidR="00383717" w:rsidRDefault="00383717">
      <w:pPr>
        <w:pStyle w:val="ConsPlusNormal"/>
        <w:jc w:val="center"/>
      </w:pPr>
      <w:r>
        <w:t>следующие разделы: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- общие требования;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требования, связанные с использованием имущества, переданного в оперативное управление;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требования, связанные с финансово-экономическими результатами деятельности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требования по предоставлению муниципальных услуг;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требования по реализации отдельных мероприятий ведомственных программ;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требования к соблюдению стандартов качества муниципальных услуг;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требования к представлению отчетности о деятельности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Требования в отношении деятельности отдельного учреждения могут содержать дополнительные разделы либо не включать отдельные разделы из </w:t>
      </w:r>
      <w:proofErr w:type="gramStart"/>
      <w:r>
        <w:t>указанных</w:t>
      </w:r>
      <w:proofErr w:type="gramEnd"/>
      <w:r>
        <w:t xml:space="preserve"> выше, в зависимости от специфики учреждения и потребности субъекта бюджетного планирования в осуществлении контроля за конкретной сферой деятельности.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t>5.2. Общие требования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5.2.1. Общие требования к работе учреждений устанавливаются с целью обеспечения выполнения установленных нормативными правовыми актами требований, исполнение которых является обязательным.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5.2.2. Выполнение общих требований в первую очередь должно обеспечивать снижение рисков, связанных с появлением требований и претензий третьих лиц или контролирующих органов, в результате которых могут возникнуть финансовые и имущественные потери или нарушения нормального функционирования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5.2.3. К общим требованиям относятся: соблюдение норм законодательства Российской Федерации, нормативных правовых актов Кемеровской области, нормативных правовых актов </w:t>
      </w:r>
      <w:proofErr w:type="gramStart"/>
      <w:r>
        <w:t>г</w:t>
      </w:r>
      <w:proofErr w:type="gramEnd"/>
      <w:r>
        <w:t>. Новокузнецка, ведомственных правовых актов в части, касающейся деятельности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(или количество) предъявляемых исковых требований к учреждению;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(или количество) предписаний и санкций со стороны контрольных и надзорных органов, вынесенных в отношении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(или количество) выявленных нарушений в актах проверок деятельности учреждения на предмет соответствия его деятельности нормам законодательства;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5.2.4. Соблюдение приказов руководителя курирующего субъекта бюджетного планирования.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(или количество) приказов руководителя курирующего субъекта бюджетного планирования о дисциплинарных взысканиях к руководителю или работникам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(или количество) фактов неисполнения приказов руководителя курирующего субъекта бюджетного планирования, выявленных по результатам контрольных проверок;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5.2.5. Целевые значения показателей, характеризующих выполнение общих требований, могут устанавливаться следующим образом: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нормативно на основе обязательности соблюдения всех нормативно установленных требований;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исходя из сложившихся значений используемых показателей в отношении каждого из учреждений за прошедшие годы;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исходя из сложившихся значений используемых показателей в среднем по курируемым учреждениям за прошедшие годы.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t>5.3. Требования, связанные с использованием имущества,</w:t>
      </w:r>
    </w:p>
    <w:p w:rsidR="00383717" w:rsidRDefault="00383717">
      <w:pPr>
        <w:pStyle w:val="ConsPlusNormal"/>
        <w:jc w:val="center"/>
      </w:pPr>
      <w:proofErr w:type="gramStart"/>
      <w:r>
        <w:t>переданного</w:t>
      </w:r>
      <w:proofErr w:type="gramEnd"/>
      <w:r>
        <w:t xml:space="preserve"> в оперативное управление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5.3.1. Выполнение данной группы требований должно обеспечивать эффективное использование имущества города Новокузнецка, переданного в оперативное управление учреждению.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5.3.2. К требованиям, связанным с использованием имущества, переданного в оперативное управление, относятся: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5.3.2.1. Ведение учета имущества, переданного в оперативное управление, обеспечивающего полноту и достоверность данных об имуществе.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(или количество) выявленных фактов несоответствия данных бухгалтерского учета и фактического наличия имущества в оперативном управлении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5.3.2.2. Обеспечение сохранности имущества, переданного в оперативное управление.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наличие у учреждения внутренних регламентирующих документов, положениями которых </w:t>
      </w:r>
      <w:proofErr w:type="gramStart"/>
      <w:r>
        <w:t>предусматриваются</w:t>
      </w:r>
      <w:proofErr w:type="gramEnd"/>
      <w:r>
        <w:t xml:space="preserve"> наличие системы мер по обеспечению сохранности имущества, переданного учреждению в оперативное управление;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случаев (число случаев, финансовая оценка потерь) утраты имущества вследствие порчи, хищения, пожара и по иным причинам;</w:t>
      </w:r>
    </w:p>
    <w:p w:rsidR="00383717" w:rsidRDefault="00383717">
      <w:pPr>
        <w:pStyle w:val="ConsPlusNormal"/>
        <w:spacing w:before="220"/>
        <w:ind w:firstLine="540"/>
        <w:jc w:val="both"/>
      </w:pPr>
      <w:proofErr w:type="gramStart"/>
      <w:r>
        <w:t>- стоимость имущества (балансовая, остаточная), переданного учреждению, на контрольную дату;</w:t>
      </w:r>
      <w:proofErr w:type="gramEnd"/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случаев отчуждения имущества, следствием которых стали снижение объема оказания муниципальной услуги либо снижение качества предоставления муниципальной услуги;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5.3.2.3. Использование имущества, переданного в оперативное управление, по целевому назначению: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выявленных факторов нецелевого использования имущества;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5.3.3. Целевые значения показателей, характеризующих выполнение требований, связанных использованием имущества, переданного в оперативное управление, могут устанавливаться следующим образом: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нормативно на основе обязательности отсутствия отдельных фактов и нарушений;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исходя из сложившихся значений используемых показателей в отношении каждого из учреждений за прошедшие периоды и их динамики;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исходя из сложившихся значений используемых показателей в среднем по курируемым учреждениям за прошедшие периоды.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t xml:space="preserve">5.4. Требования, связанные с </w:t>
      </w:r>
      <w:proofErr w:type="gramStart"/>
      <w:r>
        <w:t>финансово-экономическими</w:t>
      </w:r>
      <w:proofErr w:type="gramEnd"/>
    </w:p>
    <w:p w:rsidR="00383717" w:rsidRDefault="00383717">
      <w:pPr>
        <w:pStyle w:val="ConsPlusNormal"/>
        <w:jc w:val="center"/>
      </w:pPr>
      <w:r>
        <w:t>результатами деятельности учреждения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 xml:space="preserve">5.4.1. Данная группа требований должна обеспечивать снижение рисков ухудшения </w:t>
      </w:r>
      <w:r>
        <w:lastRenderedPageBreak/>
        <w:t>финансового состояния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5.4.2. К требованиям, связанным с финансово-экономическими результатами деятельности учреждения, относятся: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5.4.2.1. Соблюдение выделенных объемов бюджетных ассигнований и лимитов бюджетных обязатель</w:t>
      </w:r>
      <w:proofErr w:type="gramStart"/>
      <w:r>
        <w:t>ств пр</w:t>
      </w:r>
      <w:proofErr w:type="gramEnd"/>
      <w:r>
        <w:t>и принятии учреждением денежных обязательств.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выявленных фактов принятия денежных средств, не обеспеченных источниками финансирования;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требований со стороны третьих лиц по выполнению принятых денежных обязательств, не обеспеченных источниками финансирования (либо число требований со стороны третьих лиц, размер предъявленных требований в части, не обеспеченной источниками финансирования);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выявленных фактов финансирования расходов по денежным обязательствам, не обеспеченных источниками финансирования (либо число выявленных фактов, объем расходов по денежным обязательствам, не обеспеченным источниками финансирования).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В качестве целевых значений по данным показателям должны устанавливаться нулевые значения (либо значение отсутствует). Установление количественных или финансовых показателей целесообразно осуществлять с целью возможности оценки негативных последствий, связанных с нарушением требования.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5.4.2.2. Изменение, достижение определенных объемов кредиторской задолженности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(объем, динамика объема) просроченной кредиторской задолженности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(снижение объема) кредиторской задолженности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отношение кредиторской задолженности учреждения к объему бюджетных ассигнований, утвержденному сметой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средний срок возникновения кредиторской задолженности. При использовании данного показателя срок кредиторской задолженности не должен превышать одного месяца со дня ее возникновения;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Целевые значения в отношении вышеуказанных показателей рекомендуется устанавливать исходя из следующих подходов: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просроченная кредиторская задолженность учреждения должна стремиться (в случае ее наличия на отчетную дату) или быть равной нулю;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целевое значение среднего срока возникновения кредиторской задолженности может быть определено на основе отчетных данных по учреждению или группе учреждений.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5.4.2.3. Изменение, достижение определенных объемов дебиторской задолженности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(объем, динамика объема) просроченной дебиторской задолженности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максимально допустимый объем (динамика объема) дебиторской задолженности учреждения по авансовым платежам;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отношение дебиторской задолженности учреждений к объему бюджетных ассигнований, утвержденному сметой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средний срок возникновения дебиторской задолженности.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Целевые значения в отношении вышеуказанных показателей рекомендуется устанавливать исходя из следующих подходов: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просроченная дебиторская задолженность учреждения должна стремиться к нулю либо иметь незначительный объем по отношению к общему объему расходов учреждения;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целевое значение среднего срока возникновения дебиторской задолженности может быть определено на основе отчетных данных по учреждению или группе учреждений.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5.4.2.4. Изменение, достижение определенных объемов доходов от платных услуг и иной приносящей доход деятельности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эффективности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объем доходов от платных услуг и иной приносящей доход деятельности учреждения (в том числе по источникам получения доходов);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динамика объема доходов от платных услуг и иной приносящей доход деятельности учреждения (в том числе по источникам получения доходов);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Показатели объема и динамики объема доходов от платных услуг и иной приносящей доход деятельности должны быть установлены в разрезе муниципальных услуг, оказываемых учреждением.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5.4.3. Целевые значения в отношении вышеуказанных показателей рекомендуется устанавливать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значений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плановых изменений факторов, ведущих к изменению объема доходов от платных услуг и иной приносящей доход деятельности;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объема и динамики доходов от платных услуг и иной приносящей доход деятельности, предусмотренных ведомственными программами субъекта бюджетного планирования, курирующего учреждение.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t>5.5. Требования по предоставлению муниципальных услуг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 xml:space="preserve">5.5.1. Данная группа требований устанавливается в целях </w:t>
      </w:r>
      <w:proofErr w:type="gramStart"/>
      <w:r>
        <w:t>обеспечения реализации ведомственных программ курирующего субъекта бюджетного планирования</w:t>
      </w:r>
      <w:proofErr w:type="gramEnd"/>
      <w:r>
        <w:t>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5.5.2. Требования по предоставлению муниципальных услуг устанавливаются для учреждения раздельно для каждой из муниципальных услуг, оказание которой осуществляет учреждение.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5.5.3. К требованиям, связанным с предоставлением муниципальных услуг относятся: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5.5.3.1. Изменение, достижение определенного объема оказания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объем оказания муниципальной услуги (минимальный, максимальный);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динамика объема оказания муниципальной услуги (минимальная, максимальная).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Показатели объема оказания муниципальной услуги должны исчисляться в натуральных величинах. Не допускается исчисление показателя объема оказания муниципальной услуги в денежных единицах.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Для одного учреждения может быть установлено несколько показателей объема оказания муниципальной услуги исходя из структуры потребителей муниципальной услуги, а также содержания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Целевые значения в отношении вышеуказанных показателей рекомендуется устанавливать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плановых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плановых изменений значения показателя в связи с осуществлением отдельных мероприятий, направленных на изменение объема и структуры оказания услуги (расширение мощностей, перепрофилирование мощностей и т.д.);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прямого арифметического воздействия целевого значения показателя, устанавливаемого для учреждения, на соответствующие значения показателей ведомственных программ.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5.5.3.2. Изменение, достижение определенного уровня качества оказания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показатели, характеризующие качество оказания муниципальной услуги, используемые в соответствующей ведомственной программе;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 (действия), которые должны быть достигнуты (совершены) учреждением для достижения целевых показателей ведомственных программ или сохранения показателей текущего уровня оказания муниципальной услуги, представленного в ведомственной программе.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Показатели качества, отличные от показателей качества оказания муниципальной услуги, используемых в ведомственной программе, рекомендуется использовать в том случае, когда показатель по подведомственной программе не рассчитывается и не учитывается в разрезе отдельных учреждений.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Для одного учреждения может быть установлено несколько показателей качества оказания муниципальной услуги исходя из структуры потребителей муниципальной услуги, а также содержания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Целевые значения в отношении вышеуказанных показателей рекомендуется устанавливать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значений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плановых изменений значения показателя в связи с осуществлением отдельных мероприятий, направленных на изменение уровня качества оказания услуги в учреждении;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прямого воздействия целевого значения показателя, устанавливаемого для учреждения, на соответствующие значения показателей ведомственных программ (в случае, когда для учреждения устанавливаются показатели качества, аналогичные показателям ведомственных программ).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5.5.3.3. Изменение, достижение определенного уровня издержек на оказание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максимальный объем расходов на оказание муниципальной услуги;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максимальная себестоимость расходов на оказание муниципальной услуги в расчете на одного потребителя или на одну единицу объема оказания муниципальной услуги;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Целевые значения в отношении вышеуказанных показателей рекомендуется устанавливать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значений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плановых изменений показателя в связи с осуществлением отдельных мероприятий, направленных на изменение стоимости оказания услуги (увеличение платы потребителей услуги, централизованное внедрение ресурсосберегающих технологий, расширение штата учреждений и т.д.);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соотношения уровня текущих расходов учреждения (в расчете на потребителя или единицу объема оказания муниципальной услуги) и среднего уровня текущих расходов по данной услуге в целом по учреждениям;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прямого арифметического воздействия целевого значения показателя, устанавливаемого для учреждения, на соответствующие значения показателей ведомственных программ.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5.5.3.4. Изменение, достижение определенного уровня надежности (регулярности) предоставления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показатели, характеризующие надежность (регулярность) оказания муниципальной услуги, используемые в соответствующей ведомственной программе;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В качестве показателей надежности (регулярности) предоставления муниципальной услуги рекомендуется использовать показатели, отражающие число и длительность периодов вынужденного предоставления услуги учреждением, число нарушений установленной для учреждения регулярности (сроков) оказания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Целевые значения в отношении вышеуказанных показателей рекомендуется устанавливать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значений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плановых изменений показателя в связи с осуществлением отдельных мероприятий, направленных на изменение надежности (регулярности) оказания муниципальной услуги (проведение капитальных ремонтов, замена оборудования и т.д.);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среднего значения соответствующего показателя для всех учреждений, оказывающих муниципальную услугу;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прямого воздействия целевого значения показателя, устанавливаемого для учреждения, на соответствующие значения показателей ведомственных программ (в случае, когда для учреждения устанавливается показатель, аналогичный показателям ведомственных программ).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t>5.6. Требования по реализации отдельных мероприятий</w:t>
      </w:r>
    </w:p>
    <w:p w:rsidR="00383717" w:rsidRDefault="00383717">
      <w:pPr>
        <w:pStyle w:val="ConsPlusNormal"/>
        <w:jc w:val="center"/>
      </w:pPr>
      <w:r>
        <w:t>ведомственных программ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5.6.1. В состав требований к работе учреждений могут включаться требования по выполнению конкретных мероприятий, предусмотренных ведомственными программами субъекта бюджетного планирования.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Степень выполнения требования по реализации конкретного мероприятия может быть оценена посредством степени достижения базовых параметров осуществления мероприятия, в том числе: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масштаба осуществления мероприятия (число участников, число объектов, в отношении которых осуществляется мероприятие и т.д.);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соблюдение плана (последовательности действий) или программы проведения мероприятия (при их наличии);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достижения конечных результатов (конечного продукта) проведения мероприятия (в случае возможности фиксации таких результатов);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сметной стоимости проведения мероприятия;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иных параметров проведения мероприятий.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5.6.2. Набор базовых параметров для оценки степени реализации конкретного мероприятия определяется исходя из специфики действий, составляющих мероприятие, важности отдельных параметров с точки зрения целевого назначения мероприятия.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5.6.3. В качестве базовых параметров осуществления мероприятия рекомендуется устанавливать минимально допустимые с точки зрения целевого назначения мероприятия значения.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5.6.4. Требование по реализации конкретного мероприятия считается выполненным в том случае, если достигнуты все базовые параметры осуществления мероприятия.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lastRenderedPageBreak/>
        <w:t>5.7. Требования по соблюдению стандартов качества оказания</w:t>
      </w:r>
    </w:p>
    <w:p w:rsidR="00383717" w:rsidRDefault="00383717">
      <w:pPr>
        <w:pStyle w:val="ConsPlusNormal"/>
        <w:jc w:val="center"/>
      </w:pPr>
      <w:r>
        <w:t>муниципальных услуг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5.7.1. Требования по соблюдению стандартов качества оказания муниципальной услуги должны быть установлены раздельно для каждой муниципальной услуги, предоставляемой учреждением.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5.7.2. К требованиям по соблюдению стандартов качества муниципальной услуги относятся: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5.7.2.1. Соблюдение требований стандарта качества муниципальной услуги, относящихся к порядку получения доступа к услуге.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общее число нарушений учреждением требований стандарта качества муниципальной услуги, относящихся к порядку получения доступа к услуге;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число нарушений учреждением требований стандарта качества муниципальной услуги, относящихся к порядку получения доступа к услуге, установленных по результатам проверок;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Целевые значения в отношении вышеуказанных показателей могут быть установлены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значений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предположения о недоступности нарушения требований стандарта;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среднего отчетного значения соответствующего показателя для всех учреждений, оказывающих муниципальную услугу;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прямого воздействия целевого значения показателя, устанавливаемого для учреждения, на соответствующие значения показателей ведомственной программы;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иных соображений о максимально допустимом числе фиксируемых </w:t>
      </w:r>
      <w:proofErr w:type="gramStart"/>
      <w:r>
        <w:t>нарушений стандарта качества оказания муниципальной услуги</w:t>
      </w:r>
      <w:proofErr w:type="gramEnd"/>
      <w:r>
        <w:t>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5.7.2.2. Соблюдение требований стандарта, относящихся к качеству оказания муниципальной услуги.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общее число </w:t>
      </w:r>
      <w:proofErr w:type="gramStart"/>
      <w:r>
        <w:t>нарушений требований стандарта качества оказания муниципальной услуги</w:t>
      </w:r>
      <w:proofErr w:type="gramEnd"/>
      <w:r>
        <w:t>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число нарушений учреждением требований стандарта качества оказания муниципальной услуги;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Целевые значения в отношении вышеуказанных показателей могут быть установлены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значений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lastRenderedPageBreak/>
        <w:t>- предположения о недопустимости нарушения требований стандарта;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среднего отчетного значения соответствующего показателя для всех подведомственных учреждений, оказывающих муниципальную услугу;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прямого воздействия целевого значения показателя, устанавливаемого для учреждения, на соответствующие значения показателей ведомственной программы;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иных соображений о максимально допустимом числе фиксируемых </w:t>
      </w:r>
      <w:proofErr w:type="gramStart"/>
      <w:r>
        <w:t>нарушений стандарта качества оказания муниципальной услуги</w:t>
      </w:r>
      <w:proofErr w:type="gramEnd"/>
      <w:r>
        <w:t>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5.7.2.3. Соблюдение требований стандарта, относящихся к применению санкций к отдельным работникам подведомственного учреждения.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В качестве </w:t>
      </w:r>
      <w:proofErr w:type="gramStart"/>
      <w:r>
        <w:t>показателей оценки степени выполнения данного требования</w:t>
      </w:r>
      <w:proofErr w:type="gramEnd"/>
      <w:r>
        <w:t xml:space="preserve"> в соответствующем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общее число нарушений подведомственным учреждением требований стандарта, относящихся к применению санкций за нарушение </w:t>
      </w:r>
      <w:proofErr w:type="gramStart"/>
      <w:r>
        <w:t>требований стандарта качества оказания муниципальной услуги</w:t>
      </w:r>
      <w:proofErr w:type="gramEnd"/>
      <w:r>
        <w:t>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число нарушений подведомственным учреждением требований стандарта, относящихся к применению дисциплинарных взысканий к работникам учреждения за нарушение </w:t>
      </w:r>
      <w:proofErr w:type="gramStart"/>
      <w:r>
        <w:t>требований стандарта качества оказания муниципальной услуги</w:t>
      </w:r>
      <w:proofErr w:type="gramEnd"/>
      <w:r>
        <w:t>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число нарушений подведомственным учреждением требований стандарта, относящихся к предоставлению стимулирующих выплат работникам учреждения, допустившим нарушение </w:t>
      </w:r>
      <w:proofErr w:type="gramStart"/>
      <w:r>
        <w:t>требований стандарта качества оказания муниципальной услуги</w:t>
      </w:r>
      <w:proofErr w:type="gramEnd"/>
      <w:r>
        <w:t>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Целевые значения в отношении вышеуказанных показателей рекомендуется устанавливать из предположения о недопустимости нарушения подведомственным учреждением вышеуказанных требований стандарта.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center"/>
        <w:outlineLvl w:val="2"/>
      </w:pPr>
      <w:r>
        <w:t>5.8. Требования к предоставлению отчетности о деятельности</w:t>
      </w:r>
    </w:p>
    <w:p w:rsidR="00383717" w:rsidRDefault="00383717">
      <w:pPr>
        <w:pStyle w:val="ConsPlusNormal"/>
        <w:jc w:val="center"/>
      </w:pPr>
      <w:r>
        <w:t>учреждения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  <w:r>
        <w:t>5.8.1. Требования по предоставлению отчетности о деятельности учреждений необходимы для своевременного, достоверного и полного получения информации о результатах работы учреждений.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5.8.2. В данном разделе должны быть сформулированы требования в отношении представления форм отчетности учреждения субъекту бюджетного планирования </w:t>
      </w:r>
      <w:proofErr w:type="gramStart"/>
      <w:r>
        <w:t>г</w:t>
      </w:r>
      <w:proofErr w:type="gramEnd"/>
      <w:r>
        <w:t>. Новокузнецка.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5.8.3. Требования к предоставлению отчетности могут быть установлены как в совокупности всех форм отчетности, так и индивидуально по отношению к каждой из форм отчетности.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5.8.4. В качестве </w:t>
      </w:r>
      <w:proofErr w:type="gramStart"/>
      <w:r>
        <w:t>показателей оценки степени выполнения требований</w:t>
      </w:r>
      <w:proofErr w:type="gramEnd"/>
      <w:r>
        <w:t xml:space="preserve"> по предоставлению отчетности в контрольном периоде могут использоваться: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(число) нарушений учреждением установленных сроков представления формы (форм) отчетности;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- отсутствие (среднее число дней) задержки учреждением представления формы (форм) </w:t>
      </w:r>
      <w:r>
        <w:lastRenderedPageBreak/>
        <w:t>отчетности по сравнению с установленными сроками;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отсутствие (число) случаев представления неполной, недостоверной или заведомо ложной информации;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иные показатели.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 xml:space="preserve">5.8.5. Целевые значения в отношении вышеуказанных показателей могут быть установлены исходя </w:t>
      </w:r>
      <w:proofErr w:type="gramStart"/>
      <w:r>
        <w:t>из</w:t>
      </w:r>
      <w:proofErr w:type="gramEnd"/>
      <w:r>
        <w:t>: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отчетных значений показателей;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нарушения сроков представления отчетности и требований к полноте и достоверности представляемой информации;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разовых нарушений требований к срокам, достоверности и полноте отчетности (в силу неизбежности возникновения технических ошибок, наличия вероятности возникновения обстоятельств непреодолимой силы);</w:t>
      </w:r>
    </w:p>
    <w:p w:rsidR="00383717" w:rsidRDefault="00383717">
      <w:pPr>
        <w:pStyle w:val="ConsPlusNormal"/>
        <w:spacing w:before="220"/>
        <w:ind w:firstLine="540"/>
        <w:jc w:val="both"/>
      </w:pPr>
      <w:r>
        <w:t>- иных соображений.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jc w:val="right"/>
      </w:pPr>
      <w:r>
        <w:t>Заместитель Главы,</w:t>
      </w:r>
    </w:p>
    <w:p w:rsidR="00383717" w:rsidRDefault="00383717">
      <w:pPr>
        <w:pStyle w:val="ConsPlusNormal"/>
        <w:jc w:val="right"/>
      </w:pPr>
      <w:r>
        <w:t>руководитель аппарата</w:t>
      </w:r>
    </w:p>
    <w:p w:rsidR="00383717" w:rsidRDefault="00383717">
      <w:pPr>
        <w:pStyle w:val="ConsPlusNormal"/>
        <w:jc w:val="right"/>
      </w:pPr>
      <w:r>
        <w:t>А.Ю.ВАЩЕНКО</w:t>
      </w: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ind w:firstLine="540"/>
        <w:jc w:val="both"/>
      </w:pPr>
    </w:p>
    <w:p w:rsidR="00383717" w:rsidRDefault="003837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34C" w:rsidRDefault="0023434C"/>
    <w:sectPr w:rsidR="0023434C" w:rsidSect="0015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revisionView w:inkAnnotations="0"/>
  <w:defaultTabStop w:val="708"/>
  <w:characterSpacingControl w:val="doNotCompress"/>
  <w:compat/>
  <w:rsids>
    <w:rsidRoot w:val="00383717"/>
    <w:rsid w:val="00082E20"/>
    <w:rsid w:val="0015192F"/>
    <w:rsid w:val="0023434C"/>
    <w:rsid w:val="00383717"/>
    <w:rsid w:val="0078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7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7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9F13C47060124DC66C67E5B0558FE0CC5B26EE3A75F8805BDBB85344D0CEBB33405249061549BAB7908FDFB63528A23De6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4740</Words>
  <Characters>27023</Characters>
  <Application>Microsoft Office Word</Application>
  <DocSecurity>0</DocSecurity>
  <Lines>225</Lines>
  <Paragraphs>63</Paragraphs>
  <ScaleCrop>false</ScaleCrop>
  <Company/>
  <LinksUpToDate>false</LinksUpToDate>
  <CharactersWithSpaces>31700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Марина Владиславовна</dc:creator>
  <cp:lastModifiedBy>Савенкова Марина Владиславовна</cp:lastModifiedBy>
  <cp:revision>1</cp:revision>
  <dcterms:created xsi:type="dcterms:W3CDTF">2019-04-02T06:30:00Z</dcterms:created>
  <dcterms:modified xsi:type="dcterms:W3CDTF">2019-04-02T06:32:00Z</dcterms:modified>
</cp:coreProperties>
</file>